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УЧЕБНЫЙ ПЛАН</w:t>
      </w:r>
    </w:p>
    <w:p w:rsidR="009C4B6F" w:rsidRPr="009C4B6F" w:rsidRDefault="009C4B6F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9C4B6F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МКДОУ  детский сад «Солнышко»</w:t>
      </w:r>
    </w:p>
    <w:p w:rsidR="009C4B6F" w:rsidRPr="009D7C99" w:rsidRDefault="009C4B6F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9C4B6F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2017 – 2018 учебный год</w:t>
      </w:r>
    </w:p>
    <w:p w:rsidR="009C4B6F" w:rsidRDefault="009C4B6F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C4B6F" w:rsidRPr="009C4B6F" w:rsidRDefault="009C4B6F" w:rsidP="009C4B6F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 w:rsidRPr="009C4B6F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9C4B6F" w:rsidRPr="009C4B6F" w:rsidRDefault="009D7C99" w:rsidP="009C4B6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="009C4B6F">
        <w:rPr>
          <w:rFonts w:ascii="Helvetica" w:eastAsia="Times New Roman" w:hAnsi="Helvetica" w:cs="Helvetica"/>
          <w:bCs/>
          <w:color w:val="373737"/>
          <w:sz w:val="28"/>
          <w:szCs w:val="28"/>
          <w:bdr w:val="none" w:sz="0" w:space="0" w:color="auto" w:frame="1"/>
          <w:lang w:eastAsia="ru-RU"/>
        </w:rPr>
        <w:t>к</w:t>
      </w:r>
      <w:r w:rsidR="009C4B6F" w:rsidRPr="009C4B6F">
        <w:rPr>
          <w:rFonts w:ascii="Helvetica" w:eastAsia="Times New Roman" w:hAnsi="Helvetica" w:cs="Helvetica"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учебному плану непосредственно образовательной деятельности МКДОУ  д/сада «Солнышко»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         </w:t>
      </w:r>
    </w:p>
    <w:p w:rsidR="009C4B6F" w:rsidRDefault="009C4B6F" w:rsidP="009C4B6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C4B6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План организации непосредственно образовательной деятельности по реализации Примерной общеобразовательной программы дошкольного образования «От рождения до школы»</w:t>
      </w:r>
      <w:r w:rsidR="0026101B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и региональной программы «Дети гор» 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муниципального </w:t>
      </w:r>
      <w:r w:rsidR="0087384C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казенного 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дошкольного образовательного учреждения  детского сада «</w:t>
      </w:r>
      <w:r w:rsidR="0087384C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Солнышко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» составлен в строгом соответствии с нормативными документами, регламентирующими деятельность дошкольных образовательных учреждений:</w:t>
      </w:r>
    </w:p>
    <w:p w:rsidR="00B70DB5" w:rsidRDefault="00B70DB5" w:rsidP="00B70DB5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D7C9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Закон Российской Федерации от 29.12.2012 «Об образовании»;</w:t>
      </w:r>
    </w:p>
    <w:p w:rsidR="00B70DB5" w:rsidRDefault="00B70DB5" w:rsidP="00BC7AAF">
      <w:pPr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D7C9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Постановление Главного государственного санитарного врача Российс</w:t>
      </w:r>
      <w:r w:rsidR="0017675D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кой Федерации от 15.05. 2013 г. N 26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«</w:t>
      </w:r>
      <w:r w:rsidR="009654B6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Об утверждении СанПиН 2.4.1.3049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-13 «</w:t>
      </w:r>
      <w:proofErr w:type="spell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Санитарно</w:t>
      </w:r>
      <w:proofErr w:type="spell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proofErr w:type="gramStart"/>
      <w:r w:rsidR="0017675D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-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э</w:t>
      </w:r>
      <w:proofErr w:type="gram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пидемиологических требований к устройству, содержанию и организации режима работы дошкольных образовательных организаций»;</w:t>
      </w:r>
    </w:p>
    <w:p w:rsidR="00BC7AAF" w:rsidRDefault="00BC7AAF" w:rsidP="00BC7AAF">
      <w:pPr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BC7AAF" w:rsidRPr="00DA3982" w:rsidRDefault="009D7C99" w:rsidP="00BC7AA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A3982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Приказ </w:t>
      </w:r>
      <w:proofErr w:type="spellStart"/>
      <w:r w:rsidRPr="00DA3982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Минобрнауки</w:t>
      </w:r>
      <w:proofErr w:type="spellEnd"/>
      <w:r w:rsidRPr="00DA3982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РФ №1155 от</w:t>
      </w:r>
      <w:r w:rsidR="00DA3982" w:rsidRPr="00DA3982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Pr="00DA3982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17.10.2013 г. "Об утверждении федерального государственного образовательного стандарта дошкольного образования</w:t>
      </w:r>
    </w:p>
    <w:p w:rsidR="00DA3982" w:rsidRDefault="00DA3982" w:rsidP="00DA3982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D7C9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Приказ </w:t>
      </w:r>
      <w:proofErr w:type="spell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Минобрнауки</w:t>
      </w:r>
      <w:proofErr w:type="spell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BC7AAF" w:rsidRDefault="00BC7AAF" w:rsidP="00BC7AAF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D7C9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Положение о лицензировании образовательной деятельности, постановлением Правительства Российской Федерации от 31.03.2009 № 277.</w:t>
      </w:r>
    </w:p>
    <w:p w:rsidR="00BC7AAF" w:rsidRDefault="00BC7AAF" w:rsidP="00BC7AAF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D7C9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Письмо «Комментарии к ФГОС дошкольного образования» Министерства образования и науки Российской Федерации от 28.02.2014 г. № 08-249</w:t>
      </w:r>
    </w:p>
    <w:p w:rsidR="005170AA" w:rsidRDefault="000530F3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       </w:t>
      </w:r>
    </w:p>
    <w:p w:rsidR="009D7C99" w:rsidRPr="009D7C99" w:rsidRDefault="000530F3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Учебный план МК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ДОУ  детского сада «</w:t>
      </w: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Солнышко» на 2017 – 2018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BC7AAF" w:rsidRDefault="00BC7AAF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Учебный год начинается с 1 сентября и заканчивается 31 мая. Детский сад работает в режиме пятидневной рабочей недели.</w:t>
      </w:r>
    </w:p>
    <w:p w:rsidR="009D7C99" w:rsidRDefault="00763331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 2017-2018 г. в МК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ДОУ детский сад «</w:t>
      </w: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Солнышко» функционирует 13 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общеобразовательных групп, укомплектованных в соответствии с возрастными нормами:</w:t>
      </w:r>
    </w:p>
    <w:p w:rsidR="00763331" w:rsidRPr="00763331" w:rsidRDefault="00763331" w:rsidP="00763331">
      <w:pPr>
        <w:pStyle w:val="a5"/>
        <w:numPr>
          <w:ilvl w:val="0"/>
          <w:numId w:val="12"/>
        </w:num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Первая ранняя группа – 2 (1-2</w:t>
      </w:r>
      <w:r w:rsidR="004107F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года</w:t>
      </w:r>
      <w:r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)  </w:t>
      </w:r>
    </w:p>
    <w:p w:rsidR="00763331" w:rsidRPr="00763331" w:rsidRDefault="00763331" w:rsidP="00763331">
      <w:pPr>
        <w:pStyle w:val="a5"/>
        <w:numPr>
          <w:ilvl w:val="0"/>
          <w:numId w:val="12"/>
        </w:num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Вторая группа раннего возраста – 1 </w:t>
      </w:r>
      <w:r w:rsidR="008218C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(1.5-2 года)</w:t>
      </w:r>
    </w:p>
    <w:p w:rsidR="009D7C99" w:rsidRPr="00763331" w:rsidRDefault="00763331" w:rsidP="00763331">
      <w:pPr>
        <w:pStyle w:val="a5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Первая младшая</w:t>
      </w:r>
      <w:r w:rsidR="000B11E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– 2</w:t>
      </w:r>
      <w:r w:rsidR="004107F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(2-3 года) </w:t>
      </w:r>
    </w:p>
    <w:p w:rsidR="009D7C99" w:rsidRPr="00763331" w:rsidRDefault="00763331" w:rsidP="00763331">
      <w:pPr>
        <w:pStyle w:val="a5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Вторая младшая </w:t>
      </w:r>
      <w:r w:rsidR="00D03EF1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группа</w:t>
      </w:r>
      <w:r w:rsidR="000B11E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– 2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(3-4 года) </w:t>
      </w:r>
    </w:p>
    <w:p w:rsidR="009D7C99" w:rsidRPr="00763331" w:rsidRDefault="00763331" w:rsidP="00763331">
      <w:pPr>
        <w:pStyle w:val="a5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Средняя группа</w:t>
      </w:r>
      <w:r w:rsidR="004107F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– </w:t>
      </w:r>
      <w:r w:rsidR="000B11E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2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(4-5 лет)</w:t>
      </w:r>
    </w:p>
    <w:p w:rsidR="009D7C99" w:rsidRPr="00763331" w:rsidRDefault="00763331" w:rsidP="00763331">
      <w:pPr>
        <w:pStyle w:val="a5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Старшая группа</w:t>
      </w:r>
      <w:r w:rsidR="004107F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– </w:t>
      </w:r>
      <w:r w:rsidR="000B11E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3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(5-6 лет)</w:t>
      </w:r>
    </w:p>
    <w:p w:rsidR="009D7C99" w:rsidRPr="00763331" w:rsidRDefault="00763331" w:rsidP="00763331">
      <w:pPr>
        <w:pStyle w:val="a5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Подготовительная к школе группа</w:t>
      </w:r>
      <w:r w:rsidR="004107F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- </w:t>
      </w:r>
      <w:r w:rsidR="009D7C99" w:rsidRPr="0076333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(6-7 лет)</w:t>
      </w:r>
    </w:p>
    <w:p w:rsidR="00763331" w:rsidRDefault="00763331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Вераксы</w:t>
      </w:r>
      <w:proofErr w:type="spell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, Т.С. Комаровой, </w:t>
      </w:r>
      <w:proofErr w:type="spell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М.А.Васильевой</w:t>
      </w:r>
      <w:proofErr w:type="spell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</w:t>
      </w:r>
      <w:r w:rsidR="000742AA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ное воспитание». Учебный план МК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ДОУ детский сад «</w:t>
      </w:r>
      <w:r w:rsidR="000742AA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Солнышко» соответствует Уставу МК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ДОУ, </w:t>
      </w:r>
      <w:proofErr w:type="gram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общеобразовательной</w:t>
      </w:r>
      <w:proofErr w:type="gram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 структуре учебного плана выделяются инвариантная и вариативная часть.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В соответствии с требованиями основной общеобразовательной программы дошкольного образования в инвариантной части Плана 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определено время на образовательную деятельность, отведенное на реализацию образовательных областей.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9D7C99" w:rsidRPr="009D7C99" w:rsidRDefault="009D7C99" w:rsidP="009D7C9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При составлении учебного плана учитывались следующие </w:t>
      </w:r>
      <w:r w:rsidRPr="00224D4C">
        <w:rPr>
          <w:rFonts w:ascii="Helvetica" w:eastAsia="Times New Roman" w:hAnsi="Helvetica" w:cs="Helvetica"/>
          <w:bCs/>
          <w:color w:val="373737"/>
          <w:sz w:val="28"/>
          <w:szCs w:val="28"/>
          <w:bdr w:val="none" w:sz="0" w:space="0" w:color="auto" w:frame="1"/>
          <w:lang w:eastAsia="ru-RU"/>
        </w:rPr>
        <w:t>принципы</w:t>
      </w:r>
      <w:r w:rsidRPr="00224D4C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:</w:t>
      </w:r>
    </w:p>
    <w:p w:rsidR="009D7C99" w:rsidRPr="009D7C99" w:rsidRDefault="009D7C99" w:rsidP="009D7C9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принцип развивающего образования, целью которого является развитие ребенка;</w:t>
      </w:r>
    </w:p>
    <w:p w:rsidR="009D7C99" w:rsidRPr="009D7C99" w:rsidRDefault="009D7C99" w:rsidP="009D7C9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принцип научной обоснованности и практической применимости;</w:t>
      </w:r>
    </w:p>
    <w:p w:rsidR="009D7C99" w:rsidRPr="009D7C99" w:rsidRDefault="009D7C99" w:rsidP="009D7C9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принцип соответствия критериям полноты, необходимости и достаточности;</w:t>
      </w:r>
    </w:p>
    <w:p w:rsidR="009D7C99" w:rsidRPr="009D7C99" w:rsidRDefault="009D7C99" w:rsidP="009D7C9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9D7C99" w:rsidRPr="009D7C99" w:rsidRDefault="009D7C99" w:rsidP="009D7C9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D7C99" w:rsidRPr="009D7C99" w:rsidRDefault="009D7C99" w:rsidP="009D7C9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комплексно-тематический принцип построения образовательного процесса;</w:t>
      </w:r>
    </w:p>
    <w:p w:rsidR="009D7C99" w:rsidRPr="009D7C99" w:rsidRDefault="009D7C99" w:rsidP="009D7C9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9D7C99" w:rsidRPr="009D7C99" w:rsidRDefault="009D7C99" w:rsidP="009D7C9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224D4C" w:rsidRDefault="00224D4C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Продолжительность непрерывной непосредственно образовательной деятельности: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- для детей от 2 до 3 лет – не более 10 минут,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- для детей от 3 до 4 лет – не более 15 минут,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- для детей от 4 до 5 лет – не более 20 минут,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- для детей от 5 до 6 лет – не более 25 минут,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- для детей от 6 до 7 лет – не более 30 минут.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-   в младшей и средней группах не превышает 30 и 40 минут соответственно,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-   в старшей и подготовительной группах – 45 минут и 1,5 часа соответственно.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Перерывы между периодами организованной образовательной деятельности – не менее 10 минут.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9D7C99" w:rsidRPr="00224D4C" w:rsidRDefault="009D7C99" w:rsidP="009D7C9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224D4C">
        <w:rPr>
          <w:rFonts w:ascii="Helvetica" w:eastAsia="Times New Roman" w:hAnsi="Helvetica" w:cs="Helvetica"/>
          <w:bCs/>
          <w:color w:val="373737"/>
          <w:sz w:val="28"/>
          <w:szCs w:val="28"/>
          <w:bdr w:val="none" w:sz="0" w:space="0" w:color="auto" w:frame="1"/>
          <w:lang w:eastAsia="ru-RU"/>
        </w:rPr>
        <w:t>Форма организации занятий с</w:t>
      </w:r>
      <w:r w:rsidR="00224D4C">
        <w:rPr>
          <w:rFonts w:ascii="Helvetica" w:eastAsia="Times New Roman" w:hAnsi="Helvetica" w:cs="Helvetica"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4D4C">
        <w:rPr>
          <w:rFonts w:ascii="Helvetica" w:eastAsia="Times New Roman" w:hAnsi="Helvetica" w:cs="Helvetica"/>
          <w:bCs/>
          <w:color w:val="373737"/>
          <w:sz w:val="28"/>
          <w:szCs w:val="28"/>
          <w:bdr w:val="none" w:sz="0" w:space="0" w:color="auto" w:frame="1"/>
          <w:lang w:eastAsia="ru-RU"/>
        </w:rPr>
        <w:t>2 до 3 лет (подгрупповые) с 3 до 7 лет (фронтальные).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9D7C99" w:rsidRPr="009D7C99" w:rsidRDefault="00224D4C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Организация жизнедеятельности МК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ДОУ </w:t>
      </w: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«Солнышко»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предусматривает как организованные педагогами совместно с детьми (НОД, развлечения, </w:t>
      </w: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игры и утренники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) формы детской деятельности, так и самостоятельную деятельность детей. Режим дня и сетка занятий соо</w:t>
      </w: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тветствуют виду и направлению МК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ДОУ.</w:t>
      </w:r>
    </w:p>
    <w:p w:rsidR="009D7C99" w:rsidRPr="009D7C99" w:rsidRDefault="009D7C99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9D7C99" w:rsidRPr="00C20D3C" w:rsidRDefault="00C20D3C" w:rsidP="009D7C99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C20D3C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                   </w:t>
      </w:r>
      <w:r w:rsidR="009D7C99" w:rsidRPr="00C20D3C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I. Познавательное развитие:</w:t>
      </w:r>
    </w:p>
    <w:p w:rsidR="009D7C99" w:rsidRPr="009D7C99" w:rsidRDefault="009D7C99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C20D3C" w:rsidRDefault="00C20D3C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C20D3C" w:rsidRDefault="00C20D3C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                     </w:t>
      </w:r>
      <w:r w:rsidR="009D7C99" w:rsidRPr="00C20D3C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II. Речевое развитие:</w:t>
      </w:r>
    </w:p>
    <w:p w:rsidR="009D7C99" w:rsidRPr="009D7C99" w:rsidRDefault="009D7C99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CB05C2" w:rsidRDefault="00CB05C2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CB05C2" w:rsidRDefault="00CB05C2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   </w:t>
      </w:r>
      <w:r w:rsidR="009D7C99" w:rsidRPr="00CB05C2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III. Социально-коммуникативное развитие:</w:t>
      </w:r>
    </w:p>
    <w:p w:rsidR="009D7C99" w:rsidRPr="009D7C99" w:rsidRDefault="009D7C99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социализация, нравственное, трудовое воспитание, формирование основ безопасности.</w:t>
      </w:r>
    </w:p>
    <w:p w:rsidR="00CB05C2" w:rsidRDefault="00CB05C2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  </w:t>
      </w:r>
    </w:p>
    <w:p w:rsidR="009D7C99" w:rsidRPr="00CB05C2" w:rsidRDefault="00CB05C2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     </w:t>
      </w:r>
      <w:r w:rsidR="009D7C99" w:rsidRPr="00CB05C2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IV. Художественно </w:t>
      </w:r>
      <w:proofErr w:type="gramStart"/>
      <w:r w:rsidR="009D7C99" w:rsidRPr="00CB05C2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–э</w:t>
      </w:r>
      <w:proofErr w:type="gramEnd"/>
      <w:r w:rsidR="009D7C99" w:rsidRPr="00CB05C2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стетическое развитие:</w:t>
      </w:r>
    </w:p>
    <w:p w:rsidR="009D7C99" w:rsidRPr="009D7C99" w:rsidRDefault="009D7C99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приобщение к искусству, изобразительная деятельность, конструктивн</w:t>
      </w:r>
      <w:proofErr w:type="gram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о-</w:t>
      </w:r>
      <w:proofErr w:type="gram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модельная деятельность, музыкальная деятельность.</w:t>
      </w:r>
    </w:p>
    <w:p w:rsidR="00CB05C2" w:rsidRDefault="00CB05C2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CB05C2" w:rsidRDefault="00CB05C2" w:rsidP="00C20D3C">
      <w:pPr>
        <w:spacing w:after="0" w:line="240" w:lineRule="auto"/>
        <w:ind w:left="840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                         </w:t>
      </w:r>
      <w:r w:rsidR="009D7C99" w:rsidRPr="00CB05C2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V. Физическое развитие:</w:t>
      </w:r>
    </w:p>
    <w:p w:rsidR="009D7C99" w:rsidRPr="009D7C99" w:rsidRDefault="009D7C99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формирование начальных представлений о здоровом образе жизни, физическая культура.</w:t>
      </w:r>
    </w:p>
    <w:p w:rsidR="00DC7A10" w:rsidRDefault="00DC7A10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DC7A10" w:rsidRDefault="009D7C99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C7A10">
        <w:rPr>
          <w:rFonts w:ascii="Helvetica" w:eastAsia="Times New Roman" w:hAnsi="Helvetica" w:cs="Helvetica"/>
          <w:color w:val="373737"/>
          <w:sz w:val="28"/>
          <w:szCs w:val="28"/>
          <w:u w:val="single"/>
          <w:lang w:eastAsia="ru-RU"/>
        </w:rPr>
        <w:t>Познавательно-речевое развитие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включает в себя дополнительную образовательную деятельность по подготовке детей к обучению грамоте в подготовительной группе, а также непосредственно образовательную деятельность по экологическому воспитанию старших дошкольников</w:t>
      </w:r>
      <w:proofErr w:type="gram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.</w:t>
      </w:r>
      <w:proofErr w:type="gram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</w:p>
    <w:p w:rsidR="00DC7A10" w:rsidRDefault="00DC7A10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u w:val="single"/>
          <w:lang w:eastAsia="ru-RU"/>
        </w:rPr>
      </w:pPr>
    </w:p>
    <w:p w:rsidR="00DC7A10" w:rsidRDefault="009D7C99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C7A10">
        <w:rPr>
          <w:rFonts w:ascii="Helvetica" w:eastAsia="Times New Roman" w:hAnsi="Helvetica" w:cs="Helvetica"/>
          <w:color w:val="373737"/>
          <w:sz w:val="28"/>
          <w:szCs w:val="28"/>
          <w:u w:val="single"/>
          <w:lang w:eastAsia="ru-RU"/>
        </w:rPr>
        <w:t>Художественно-эстетическое развитие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реализуется через включение в учебный план ООД по художественному труду в старшей и подготовительной группе, а также занятий по изобразительной деятельности по </w:t>
      </w:r>
      <w:r w:rsidR="00794816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изданиям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Лыковой И. А., начиная со второй младшей группы. </w:t>
      </w:r>
    </w:p>
    <w:p w:rsidR="00DC7A10" w:rsidRDefault="00DC7A10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u w:val="single"/>
          <w:lang w:eastAsia="ru-RU"/>
        </w:rPr>
      </w:pPr>
    </w:p>
    <w:p w:rsidR="009D7C99" w:rsidRPr="009D7C99" w:rsidRDefault="009D7C99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proofErr w:type="gramStart"/>
      <w:r w:rsidRPr="00DC7A10">
        <w:rPr>
          <w:rFonts w:ascii="Helvetica" w:eastAsia="Times New Roman" w:hAnsi="Helvetica" w:cs="Helvetica"/>
          <w:color w:val="373737"/>
          <w:sz w:val="28"/>
          <w:szCs w:val="28"/>
          <w:u w:val="single"/>
          <w:lang w:eastAsia="ru-RU"/>
        </w:rPr>
        <w:t>Социально – коммуникативное развитие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включает в себя дополнительную образовательную деятельность по духовно – нравственному воспитанию детей старшего и 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подготовительного возраста (</w:t>
      </w:r>
      <w:proofErr w:type="spellStart"/>
      <w:r w:rsidR="001336F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парц</w:t>
      </w:r>
      <w:proofErr w:type="spellEnd"/>
      <w:r w:rsidR="001336F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. программа «До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р</w:t>
      </w:r>
      <w:r w:rsidR="001336F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огою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1336F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добра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» автор:</w:t>
      </w:r>
      <w:proofErr w:type="gram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r w:rsidR="001336F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Коломийченко Л.В., Чугаева Г.И.)</w:t>
      </w:r>
    </w:p>
    <w:p w:rsidR="0026101B" w:rsidRDefault="0026101B" w:rsidP="00E8014F">
      <w:pPr>
        <w:spacing w:after="0" w:line="240" w:lineRule="auto"/>
        <w:ind w:left="10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9D7C99" w:rsidRPr="009D7C99" w:rsidRDefault="009D7C99" w:rsidP="00E8014F">
      <w:pPr>
        <w:spacing w:after="0" w:line="240" w:lineRule="auto"/>
        <w:ind w:left="10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На основе плана составлено расписание организованной образовательной деятельности, что способствует регуляции нагрузки, оптимальному чередованию различных видов деятельности, предупреждению утомляемости.</w:t>
      </w:r>
    </w:p>
    <w:p w:rsidR="009D7C99" w:rsidRPr="009D7C99" w:rsidRDefault="009D7C99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 летний период учебные занятия не проводятся. В это время увеличивается продолжительность прогулок, а также проводятся спортивные и подвижные игры, спортивные праздники, экскурсии, занятия музыкально – эстетического цикла и др.</w:t>
      </w:r>
    </w:p>
    <w:p w:rsidR="009D7C99" w:rsidRPr="009D7C99" w:rsidRDefault="009D7C99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9D7C99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Вариативная часть учебного плана,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формируемая участниками образовательного процесса ДОУ, обеспечивает вариативность образования, отражает приорите</w:t>
      </w:r>
      <w:r w:rsidR="000F6CB7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тное направление деятельности МК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ДОУ и направлена на реализацию </w:t>
      </w:r>
      <w:r w:rsidRPr="009D7C99">
        <w:rPr>
          <w:rFonts w:ascii="Helvetica" w:eastAsia="Times New Roman" w:hAnsi="Helvetica" w:cs="Helvetica"/>
          <w:b/>
          <w:bCs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парциальных программ, </w:t>
      </w:r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которые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Вераксы</w:t>
      </w:r>
      <w:proofErr w:type="spell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, Т.С. Комаровой, </w:t>
      </w:r>
      <w:r w:rsidR="00DC7A1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</w:t>
      </w:r>
      <w:proofErr w:type="spellStart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М.А.Васильевой</w:t>
      </w:r>
      <w:proofErr w:type="spellEnd"/>
      <w:r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. Вариативная часть составляет не более 40% от общей учебной нагрузки.</w:t>
      </w:r>
    </w:p>
    <w:p w:rsidR="00DC7A10" w:rsidRDefault="00DC7A10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DC7A10" w:rsidRDefault="00DC7A10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DC7A10" w:rsidRDefault="00DC7A10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DC7A10" w:rsidRDefault="00DC7A10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DC7A10" w:rsidRDefault="00DC7A10" w:rsidP="00E8014F">
      <w:pPr>
        <w:spacing w:after="0" w:line="240" w:lineRule="auto"/>
        <w:ind w:left="168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DC7A10" w:rsidRDefault="00DC7A10" w:rsidP="00DC7A10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         Заведующая МК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ДОУ  </w:t>
      </w:r>
      <w:r w:rsidR="009D7C99" w:rsidRPr="009D7C99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9D7C99" w:rsidRDefault="00DC7A10" w:rsidP="00DC7A10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        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«</w:t>
      </w: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Солнышко</w:t>
      </w:r>
      <w:r w:rsidR="009D7C99" w:rsidRPr="009D7C99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»</w:t>
      </w: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                                       </w:t>
      </w:r>
      <w:proofErr w:type="spellStart"/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Зубаирова</w:t>
      </w:r>
      <w:proofErr w:type="spellEnd"/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П.М.</w:t>
      </w:r>
    </w:p>
    <w:p w:rsidR="009D7C99" w:rsidRDefault="009D7C99" w:rsidP="00E8014F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9D7C99" w:rsidRDefault="009D7C99" w:rsidP="009D7C9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lastRenderedPageBreak/>
        <w:t xml:space="preserve">                                                                        </w:t>
      </w:r>
      <w:r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  <w:t xml:space="preserve">           Утверждаю</w:t>
      </w:r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</w:t>
      </w:r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Заведующий МКДОУ «Солнышко»</w:t>
      </w:r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     _____________</w:t>
      </w:r>
      <w:proofErr w:type="spellStart"/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П.М.Зубаирова</w:t>
      </w:r>
      <w:proofErr w:type="spellEnd"/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</w:t>
      </w:r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  Приказ №           от               2017 г.                                                                                                                                                     </w:t>
      </w:r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  </w:t>
      </w:r>
    </w:p>
    <w:p w:rsidR="00C6392F" w:rsidRDefault="00C6392F" w:rsidP="00C6392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92F" w:rsidRDefault="00C6392F" w:rsidP="00C6392F">
      <w:pPr>
        <w:tabs>
          <w:tab w:val="left" w:pos="6564"/>
        </w:tabs>
      </w:pPr>
    </w:p>
    <w:p w:rsidR="00C6392F" w:rsidRDefault="00C6392F" w:rsidP="00C6392F"/>
    <w:p w:rsidR="00C6392F" w:rsidRDefault="00C6392F" w:rsidP="00C6392F"/>
    <w:p w:rsidR="00C6392F" w:rsidRDefault="00C6392F" w:rsidP="00C6392F"/>
    <w:p w:rsidR="00C6392F" w:rsidRDefault="00C6392F" w:rsidP="00C6392F"/>
    <w:p w:rsidR="00C6392F" w:rsidRDefault="00C6392F" w:rsidP="00C6392F">
      <w:pPr>
        <w:tabs>
          <w:tab w:val="left" w:pos="2160"/>
        </w:tabs>
        <w:rPr>
          <w:b/>
          <w:sz w:val="56"/>
          <w:szCs w:val="56"/>
        </w:rPr>
      </w:pPr>
      <w:r>
        <w:tab/>
        <w:t xml:space="preserve">      </w:t>
      </w:r>
      <w:r>
        <w:rPr>
          <w:b/>
          <w:sz w:val="56"/>
          <w:szCs w:val="56"/>
        </w:rPr>
        <w:t>УЧЕБНЫЙ ПЛАН</w:t>
      </w:r>
    </w:p>
    <w:p w:rsidR="00C6392F" w:rsidRDefault="00C6392F" w:rsidP="00C6392F">
      <w:pPr>
        <w:tabs>
          <w:tab w:val="left" w:pos="216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МКДОУ  детский сад «Солнышко»</w:t>
      </w:r>
    </w:p>
    <w:p w:rsidR="00C6392F" w:rsidRDefault="00C6392F" w:rsidP="00C6392F">
      <w:pPr>
        <w:tabs>
          <w:tab w:val="left" w:pos="216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на 2017 – 2018 учебный год</w:t>
      </w:r>
    </w:p>
    <w:p w:rsidR="00C6392F" w:rsidRDefault="00C6392F" w:rsidP="00C6392F">
      <w:pPr>
        <w:rPr>
          <w:sz w:val="56"/>
          <w:szCs w:val="56"/>
        </w:rPr>
      </w:pPr>
    </w:p>
    <w:p w:rsidR="00C6392F" w:rsidRDefault="00C6392F" w:rsidP="00C6392F">
      <w:pPr>
        <w:rPr>
          <w:sz w:val="56"/>
          <w:szCs w:val="56"/>
        </w:rPr>
      </w:pPr>
    </w:p>
    <w:p w:rsidR="00C6392F" w:rsidRDefault="00C6392F" w:rsidP="00C6392F">
      <w:pPr>
        <w:rPr>
          <w:sz w:val="56"/>
          <w:szCs w:val="56"/>
        </w:rPr>
      </w:pPr>
    </w:p>
    <w:p w:rsidR="00C6392F" w:rsidRDefault="00C6392F" w:rsidP="00C6392F">
      <w:pPr>
        <w:rPr>
          <w:sz w:val="56"/>
          <w:szCs w:val="56"/>
        </w:rPr>
      </w:pPr>
    </w:p>
    <w:p w:rsidR="00C6392F" w:rsidRDefault="00C6392F" w:rsidP="00C6392F">
      <w:pPr>
        <w:rPr>
          <w:sz w:val="56"/>
          <w:szCs w:val="56"/>
        </w:rPr>
      </w:pPr>
    </w:p>
    <w:p w:rsidR="00C6392F" w:rsidRDefault="00C6392F" w:rsidP="00C6392F">
      <w:pPr>
        <w:tabs>
          <w:tab w:val="left" w:pos="2400"/>
        </w:tabs>
        <w:rPr>
          <w:b/>
          <w:sz w:val="28"/>
          <w:szCs w:val="28"/>
        </w:rPr>
      </w:pPr>
      <w:r>
        <w:rPr>
          <w:sz w:val="56"/>
          <w:szCs w:val="56"/>
        </w:rPr>
        <w:tab/>
        <w:t xml:space="preserve">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ергебиль</w:t>
      </w:r>
      <w:proofErr w:type="spellEnd"/>
    </w:p>
    <w:p w:rsidR="009D7C99" w:rsidRDefault="009D7C99" w:rsidP="00C6392F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sectPr w:rsidR="009D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5C3"/>
    <w:multiLevelType w:val="multilevel"/>
    <w:tmpl w:val="7CDC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96837"/>
    <w:multiLevelType w:val="multilevel"/>
    <w:tmpl w:val="A030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37A09"/>
    <w:multiLevelType w:val="multilevel"/>
    <w:tmpl w:val="07A8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354B7"/>
    <w:multiLevelType w:val="multilevel"/>
    <w:tmpl w:val="501A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6534B"/>
    <w:multiLevelType w:val="multilevel"/>
    <w:tmpl w:val="481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86B1C"/>
    <w:multiLevelType w:val="hybridMultilevel"/>
    <w:tmpl w:val="BA2A6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349CB"/>
    <w:multiLevelType w:val="multilevel"/>
    <w:tmpl w:val="48A8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36283"/>
    <w:multiLevelType w:val="multilevel"/>
    <w:tmpl w:val="E90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E240BC"/>
    <w:multiLevelType w:val="multilevel"/>
    <w:tmpl w:val="5410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C4DD9"/>
    <w:multiLevelType w:val="multilevel"/>
    <w:tmpl w:val="A9B2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4A67B9"/>
    <w:multiLevelType w:val="hybridMultilevel"/>
    <w:tmpl w:val="CE2E4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01F1F"/>
    <w:multiLevelType w:val="multilevel"/>
    <w:tmpl w:val="42E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93"/>
    <w:rsid w:val="000375A8"/>
    <w:rsid w:val="000530F3"/>
    <w:rsid w:val="000742AA"/>
    <w:rsid w:val="000B11E1"/>
    <w:rsid w:val="000D7482"/>
    <w:rsid w:val="000E4170"/>
    <w:rsid w:val="000F1264"/>
    <w:rsid w:val="000F6CB7"/>
    <w:rsid w:val="00127E49"/>
    <w:rsid w:val="001336F1"/>
    <w:rsid w:val="0013594D"/>
    <w:rsid w:val="001434D5"/>
    <w:rsid w:val="0017675D"/>
    <w:rsid w:val="001E61B2"/>
    <w:rsid w:val="00201763"/>
    <w:rsid w:val="0020796F"/>
    <w:rsid w:val="00224D4C"/>
    <w:rsid w:val="0026101B"/>
    <w:rsid w:val="002D1AB8"/>
    <w:rsid w:val="003300B4"/>
    <w:rsid w:val="003320B7"/>
    <w:rsid w:val="003430AA"/>
    <w:rsid w:val="00347F39"/>
    <w:rsid w:val="00396228"/>
    <w:rsid w:val="003E3393"/>
    <w:rsid w:val="004107F3"/>
    <w:rsid w:val="004139AB"/>
    <w:rsid w:val="004465E6"/>
    <w:rsid w:val="004F4073"/>
    <w:rsid w:val="005170AA"/>
    <w:rsid w:val="00585360"/>
    <w:rsid w:val="006054A1"/>
    <w:rsid w:val="006545EF"/>
    <w:rsid w:val="00671203"/>
    <w:rsid w:val="006E606A"/>
    <w:rsid w:val="00763331"/>
    <w:rsid w:val="00794816"/>
    <w:rsid w:val="007D5FCC"/>
    <w:rsid w:val="008218C1"/>
    <w:rsid w:val="0087384C"/>
    <w:rsid w:val="0088751E"/>
    <w:rsid w:val="008E7581"/>
    <w:rsid w:val="009654B6"/>
    <w:rsid w:val="009C4B6F"/>
    <w:rsid w:val="009D7C99"/>
    <w:rsid w:val="009E158B"/>
    <w:rsid w:val="00A211D5"/>
    <w:rsid w:val="00A355D9"/>
    <w:rsid w:val="00AC1EBA"/>
    <w:rsid w:val="00AD556B"/>
    <w:rsid w:val="00B14580"/>
    <w:rsid w:val="00B70DB5"/>
    <w:rsid w:val="00BC7AAF"/>
    <w:rsid w:val="00BD0E12"/>
    <w:rsid w:val="00BF72A6"/>
    <w:rsid w:val="00C20D3C"/>
    <w:rsid w:val="00C526C4"/>
    <w:rsid w:val="00C6392F"/>
    <w:rsid w:val="00C83249"/>
    <w:rsid w:val="00CB05C2"/>
    <w:rsid w:val="00CC20A4"/>
    <w:rsid w:val="00D03EF1"/>
    <w:rsid w:val="00DA3982"/>
    <w:rsid w:val="00DA55C7"/>
    <w:rsid w:val="00DC7A10"/>
    <w:rsid w:val="00E6472F"/>
    <w:rsid w:val="00E8014F"/>
    <w:rsid w:val="00E8503F"/>
    <w:rsid w:val="00EB14FD"/>
    <w:rsid w:val="00EB70A0"/>
    <w:rsid w:val="00EC1F80"/>
    <w:rsid w:val="00ED4FD0"/>
    <w:rsid w:val="00F34CA8"/>
    <w:rsid w:val="00F435F1"/>
    <w:rsid w:val="00F81844"/>
    <w:rsid w:val="00FB70AB"/>
    <w:rsid w:val="00FD39ED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C99"/>
    <w:rPr>
      <w:b/>
      <w:bCs/>
    </w:rPr>
  </w:style>
  <w:style w:type="character" w:customStyle="1" w:styleId="eip-viewblock">
    <w:name w:val="eip-view_block"/>
    <w:basedOn w:val="a0"/>
    <w:rsid w:val="009D7C99"/>
  </w:style>
  <w:style w:type="paragraph" w:styleId="a5">
    <w:name w:val="List Paragraph"/>
    <w:basedOn w:val="a"/>
    <w:uiPriority w:val="34"/>
    <w:qFormat/>
    <w:rsid w:val="007633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C99"/>
    <w:rPr>
      <w:b/>
      <w:bCs/>
    </w:rPr>
  </w:style>
  <w:style w:type="character" w:customStyle="1" w:styleId="eip-viewblock">
    <w:name w:val="eip-view_block"/>
    <w:basedOn w:val="a0"/>
    <w:rsid w:val="009D7C99"/>
  </w:style>
  <w:style w:type="paragraph" w:styleId="a5">
    <w:name w:val="List Paragraph"/>
    <w:basedOn w:val="a"/>
    <w:uiPriority w:val="34"/>
    <w:qFormat/>
    <w:rsid w:val="007633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cp:lastPrinted>2017-09-27T08:38:00Z</cp:lastPrinted>
  <dcterms:created xsi:type="dcterms:W3CDTF">2017-09-13T12:58:00Z</dcterms:created>
  <dcterms:modified xsi:type="dcterms:W3CDTF">2017-11-02T08:39:00Z</dcterms:modified>
</cp:coreProperties>
</file>